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59" w:rsidRPr="00152B59" w:rsidRDefault="00135E8D" w:rsidP="00152B59">
      <w:pPr>
        <w:spacing w:after="200" w:line="276" w:lineRule="auto"/>
        <w:jc w:val="right"/>
        <w:rPr>
          <w:rFonts w:asciiTheme="minorHAnsi" w:eastAsiaTheme="minorHAnsi" w:hAnsiTheme="minorHAnsi" w:cstheme="minorBidi"/>
          <w:sz w:val="22"/>
          <w:szCs w:val="22"/>
          <w:lang w:val="fr-LU" w:eastAsia="en-US"/>
        </w:rPr>
      </w:pPr>
      <w:bookmarkStart w:id="0" w:name="_GoBack"/>
      <w:bookmarkEnd w:id="0"/>
      <w:r>
        <w:rPr>
          <w:rFonts w:asciiTheme="minorHAnsi" w:eastAsiaTheme="minorHAnsi" w:hAnsiTheme="minorHAnsi" w:cstheme="minorBidi"/>
          <w:sz w:val="22"/>
          <w:szCs w:val="22"/>
          <w:lang w:val="fr-LU" w:eastAsia="en-US"/>
        </w:rPr>
        <w:t>Luxembourg, le 15</w:t>
      </w:r>
      <w:r w:rsidR="00152B59" w:rsidRPr="00152B59">
        <w:rPr>
          <w:rFonts w:asciiTheme="minorHAnsi" w:eastAsiaTheme="minorHAnsi" w:hAnsiTheme="minorHAnsi" w:cstheme="minorBidi"/>
          <w:sz w:val="22"/>
          <w:szCs w:val="22"/>
          <w:lang w:val="fr-LU" w:eastAsia="en-US"/>
        </w:rPr>
        <w:t xml:space="preserve"> janvier 2015</w:t>
      </w:r>
    </w:p>
    <w:p w:rsidR="00152B59" w:rsidRDefault="00152B59" w:rsidP="00152B59">
      <w:pPr>
        <w:spacing w:after="200" w:line="276" w:lineRule="auto"/>
        <w:jc w:val="center"/>
        <w:rPr>
          <w:rFonts w:asciiTheme="minorHAnsi" w:eastAsiaTheme="minorHAnsi" w:hAnsiTheme="minorHAnsi" w:cstheme="minorBidi"/>
          <w:b/>
          <w:sz w:val="22"/>
          <w:szCs w:val="22"/>
          <w:lang w:val="fr-LU" w:eastAsia="en-US"/>
        </w:rPr>
      </w:pPr>
    </w:p>
    <w:p w:rsidR="00152B59" w:rsidRPr="00152B59" w:rsidRDefault="00B82E84" w:rsidP="00152B59">
      <w:pPr>
        <w:spacing w:after="200" w:line="276" w:lineRule="auto"/>
        <w:jc w:val="center"/>
        <w:rPr>
          <w:rFonts w:asciiTheme="minorHAnsi" w:eastAsiaTheme="minorHAnsi" w:hAnsiTheme="minorHAnsi" w:cstheme="minorBidi"/>
          <w:b/>
          <w:sz w:val="22"/>
          <w:szCs w:val="22"/>
          <w:lang w:val="fr-LU" w:eastAsia="en-US"/>
        </w:rPr>
      </w:pPr>
      <w:r>
        <w:rPr>
          <w:rFonts w:asciiTheme="minorHAnsi" w:eastAsiaTheme="minorHAnsi" w:hAnsiTheme="minorHAnsi" w:cstheme="minorBidi"/>
          <w:b/>
          <w:sz w:val="22"/>
          <w:szCs w:val="22"/>
          <w:lang w:val="fr-LU" w:eastAsia="en-US"/>
        </w:rPr>
        <w:t>Projet de c</w:t>
      </w:r>
      <w:r w:rsidR="00152B59" w:rsidRPr="00152B59">
        <w:rPr>
          <w:rFonts w:asciiTheme="minorHAnsi" w:eastAsiaTheme="minorHAnsi" w:hAnsiTheme="minorHAnsi" w:cstheme="minorBidi"/>
          <w:b/>
          <w:sz w:val="22"/>
          <w:szCs w:val="22"/>
          <w:lang w:val="fr-LU" w:eastAsia="en-US"/>
        </w:rPr>
        <w:t>ompte rendu de la réunion du 6 janvier 2015 entre l’ALK et la CNS</w:t>
      </w:r>
    </w:p>
    <w:p w:rsidR="002A5919" w:rsidRDefault="002A5919" w:rsidP="002A5919">
      <w:pPr>
        <w:jc w:val="both"/>
        <w:rPr>
          <w:rFonts w:ascii="Times New Roman" w:eastAsia="Calibri" w:hAnsi="Times New Roman"/>
          <w:sz w:val="22"/>
          <w:szCs w:val="22"/>
          <w:lang w:val="fr-LU"/>
        </w:rPr>
      </w:pPr>
    </w:p>
    <w:p w:rsidR="002A5919" w:rsidRPr="0069729B" w:rsidRDefault="002A5919" w:rsidP="002A5919">
      <w:pPr>
        <w:jc w:val="both"/>
        <w:rPr>
          <w:rFonts w:ascii="Times New Roman" w:eastAsia="Calibri" w:hAnsi="Times New Roman"/>
          <w:sz w:val="22"/>
          <w:szCs w:val="22"/>
          <w:lang w:val="fr-LU"/>
        </w:rPr>
      </w:pPr>
      <w:r w:rsidRPr="002A5919">
        <w:rPr>
          <w:rFonts w:ascii="Times New Roman" w:eastAsia="Calibri" w:hAnsi="Times New Roman"/>
          <w:sz w:val="22"/>
          <w:szCs w:val="22"/>
          <w:u w:val="single"/>
          <w:lang w:val="fr-LU"/>
        </w:rPr>
        <w:t>Présences </w:t>
      </w:r>
      <w:r w:rsidRPr="0069729B">
        <w:rPr>
          <w:rFonts w:ascii="Times New Roman" w:eastAsia="Calibri" w:hAnsi="Times New Roman"/>
          <w:sz w:val="22"/>
          <w:szCs w:val="22"/>
          <w:lang w:val="fr-LU"/>
        </w:rPr>
        <w:t xml:space="preserve">: </w:t>
      </w:r>
    </w:p>
    <w:p w:rsidR="002A5919" w:rsidRDefault="002A5919" w:rsidP="002A5919">
      <w:pPr>
        <w:jc w:val="both"/>
        <w:rPr>
          <w:rFonts w:ascii="Times New Roman" w:eastAsia="Calibri" w:hAnsi="Times New Roman"/>
          <w:sz w:val="22"/>
          <w:szCs w:val="22"/>
          <w:lang w:val="fr-LU"/>
        </w:rPr>
      </w:pPr>
    </w:p>
    <w:p w:rsidR="002A5919" w:rsidRPr="0069729B" w:rsidRDefault="002A5919" w:rsidP="002A5919">
      <w:pPr>
        <w:jc w:val="both"/>
        <w:rPr>
          <w:rFonts w:ascii="Times New Roman" w:eastAsia="Calibri" w:hAnsi="Times New Roman"/>
          <w:sz w:val="22"/>
          <w:szCs w:val="22"/>
          <w:lang w:val="fr-LU"/>
        </w:rPr>
      </w:pPr>
      <w:r w:rsidRPr="0069729B">
        <w:rPr>
          <w:rFonts w:ascii="Times New Roman" w:eastAsia="Calibri" w:hAnsi="Times New Roman"/>
          <w:sz w:val="22"/>
          <w:szCs w:val="22"/>
          <w:lang w:val="fr-LU"/>
        </w:rPr>
        <w:t xml:space="preserve">ALK : Mme Marie-Paule Anzia, </w:t>
      </w:r>
      <w:r w:rsidR="00983FAC">
        <w:rPr>
          <w:rFonts w:ascii="Times New Roman" w:eastAsia="Calibri" w:hAnsi="Times New Roman"/>
          <w:sz w:val="22"/>
          <w:szCs w:val="22"/>
          <w:lang w:val="fr-LU"/>
        </w:rPr>
        <w:t xml:space="preserve">Mme </w:t>
      </w:r>
      <w:r w:rsidRPr="0069729B">
        <w:rPr>
          <w:rFonts w:ascii="Times New Roman" w:eastAsia="Calibri" w:hAnsi="Times New Roman"/>
          <w:sz w:val="22"/>
          <w:szCs w:val="22"/>
          <w:lang w:val="fr-LU"/>
        </w:rPr>
        <w:t xml:space="preserve">Anouk Thill, </w:t>
      </w:r>
    </w:p>
    <w:p w:rsidR="002A5919" w:rsidRPr="0069729B" w:rsidRDefault="002A5919" w:rsidP="002A5919">
      <w:pPr>
        <w:jc w:val="both"/>
        <w:rPr>
          <w:rFonts w:ascii="Times New Roman" w:eastAsia="Calibri" w:hAnsi="Times New Roman"/>
          <w:sz w:val="22"/>
          <w:szCs w:val="22"/>
          <w:lang w:val="fr-LU"/>
        </w:rPr>
      </w:pPr>
      <w:r w:rsidRPr="0069729B">
        <w:rPr>
          <w:rFonts w:ascii="Times New Roman" w:eastAsia="Calibri" w:hAnsi="Times New Roman"/>
          <w:sz w:val="22"/>
          <w:szCs w:val="22"/>
          <w:lang w:val="fr-LU"/>
        </w:rPr>
        <w:t xml:space="preserve">          </w:t>
      </w:r>
      <w:r>
        <w:rPr>
          <w:rFonts w:ascii="Times New Roman" w:eastAsia="Calibri" w:hAnsi="Times New Roman"/>
          <w:sz w:val="22"/>
          <w:szCs w:val="22"/>
          <w:lang w:val="fr-LU"/>
        </w:rPr>
        <w:t xml:space="preserve"> </w:t>
      </w:r>
      <w:r w:rsidRPr="0069729B">
        <w:rPr>
          <w:rFonts w:ascii="Times New Roman" w:eastAsia="Calibri" w:hAnsi="Times New Roman"/>
          <w:sz w:val="22"/>
          <w:szCs w:val="22"/>
          <w:lang w:val="fr-LU"/>
        </w:rPr>
        <w:t xml:space="preserve">M. Jean-Louis Fattori, </w:t>
      </w:r>
      <w:r w:rsidR="00983FAC">
        <w:rPr>
          <w:rFonts w:ascii="Times New Roman" w:eastAsia="Calibri" w:hAnsi="Times New Roman"/>
          <w:sz w:val="22"/>
          <w:szCs w:val="22"/>
          <w:lang w:val="fr-LU"/>
        </w:rPr>
        <w:t xml:space="preserve">M. </w:t>
      </w:r>
      <w:r w:rsidRPr="0069729B">
        <w:rPr>
          <w:rFonts w:ascii="Times New Roman" w:eastAsia="Calibri" w:hAnsi="Times New Roman"/>
          <w:sz w:val="22"/>
          <w:szCs w:val="22"/>
          <w:lang w:val="fr-LU"/>
        </w:rPr>
        <w:t>Patrick Obertin</w:t>
      </w:r>
    </w:p>
    <w:p w:rsidR="002A5919" w:rsidRPr="0069729B" w:rsidRDefault="002A5919" w:rsidP="002A5919">
      <w:pPr>
        <w:jc w:val="both"/>
        <w:rPr>
          <w:rFonts w:ascii="Times New Roman" w:eastAsia="Calibri" w:hAnsi="Times New Roman"/>
          <w:sz w:val="22"/>
          <w:szCs w:val="22"/>
          <w:lang w:val="fr-LU"/>
        </w:rPr>
      </w:pPr>
      <w:r w:rsidRPr="0069729B">
        <w:rPr>
          <w:rFonts w:ascii="Times New Roman" w:eastAsia="Calibri" w:hAnsi="Times New Roman"/>
          <w:sz w:val="22"/>
          <w:szCs w:val="22"/>
          <w:lang w:val="fr-LU"/>
        </w:rPr>
        <w:t>CNS : Mme Geneviève Klepper,</w:t>
      </w:r>
      <w:r>
        <w:rPr>
          <w:rFonts w:ascii="Times New Roman" w:eastAsia="Calibri" w:hAnsi="Times New Roman"/>
          <w:sz w:val="22"/>
          <w:szCs w:val="22"/>
          <w:lang w:val="fr-LU"/>
        </w:rPr>
        <w:t xml:space="preserve"> </w:t>
      </w:r>
      <w:r w:rsidR="00983FAC">
        <w:rPr>
          <w:rFonts w:ascii="Times New Roman" w:eastAsia="Calibri" w:hAnsi="Times New Roman"/>
          <w:sz w:val="22"/>
          <w:szCs w:val="22"/>
          <w:lang w:val="fr-LU"/>
        </w:rPr>
        <w:t xml:space="preserve">Mme </w:t>
      </w:r>
      <w:r>
        <w:rPr>
          <w:rFonts w:ascii="Times New Roman" w:eastAsia="Calibri" w:hAnsi="Times New Roman"/>
          <w:sz w:val="22"/>
          <w:szCs w:val="22"/>
          <w:lang w:val="fr-LU"/>
        </w:rPr>
        <w:t>Fabienne Di Marco</w:t>
      </w:r>
    </w:p>
    <w:p w:rsidR="002A5919" w:rsidRPr="0069729B" w:rsidRDefault="002A5919" w:rsidP="002A5919">
      <w:pPr>
        <w:jc w:val="both"/>
        <w:rPr>
          <w:rFonts w:ascii="Times New Roman" w:eastAsia="Calibri" w:hAnsi="Times New Roman"/>
          <w:sz w:val="22"/>
          <w:szCs w:val="22"/>
          <w:lang w:val="fr-LU"/>
        </w:rPr>
      </w:pPr>
      <w:r w:rsidRPr="0069729B">
        <w:rPr>
          <w:rFonts w:ascii="Times New Roman" w:eastAsia="Calibri" w:hAnsi="Times New Roman"/>
          <w:sz w:val="22"/>
          <w:szCs w:val="22"/>
          <w:lang w:val="fr-LU"/>
        </w:rPr>
        <w:t xml:space="preserve">           M. Jean-Paul Juchem</w:t>
      </w:r>
    </w:p>
    <w:p w:rsidR="002A5919" w:rsidRPr="0069729B" w:rsidRDefault="002A5919" w:rsidP="002A5919">
      <w:pPr>
        <w:jc w:val="both"/>
        <w:rPr>
          <w:rFonts w:ascii="Times New Roman" w:eastAsia="Calibri" w:hAnsi="Times New Roman"/>
          <w:sz w:val="22"/>
          <w:szCs w:val="22"/>
          <w:lang w:val="fr-LU"/>
        </w:rPr>
      </w:pPr>
    </w:p>
    <w:p w:rsidR="00152B59" w:rsidRDefault="002A5919" w:rsidP="00152B59">
      <w:pPr>
        <w:spacing w:after="200" w:line="276" w:lineRule="auto"/>
        <w:rPr>
          <w:rFonts w:asciiTheme="minorHAnsi" w:eastAsiaTheme="minorHAnsi" w:hAnsiTheme="minorHAnsi" w:cstheme="minorBidi"/>
          <w:sz w:val="22"/>
          <w:szCs w:val="22"/>
          <w:lang w:val="fr-LU" w:eastAsia="en-US"/>
        </w:rPr>
      </w:pPr>
      <w:r w:rsidRPr="002A5919">
        <w:rPr>
          <w:rFonts w:asciiTheme="minorHAnsi" w:eastAsiaTheme="minorHAnsi" w:hAnsiTheme="minorHAnsi" w:cstheme="minorBidi"/>
          <w:sz w:val="22"/>
          <w:szCs w:val="22"/>
          <w:u w:val="single"/>
          <w:lang w:val="fr-LU" w:eastAsia="en-US"/>
        </w:rPr>
        <w:t>Ordre du jour</w:t>
      </w:r>
      <w:r>
        <w:rPr>
          <w:rFonts w:asciiTheme="minorHAnsi" w:eastAsiaTheme="minorHAnsi" w:hAnsiTheme="minorHAnsi" w:cstheme="minorBidi"/>
          <w:sz w:val="22"/>
          <w:szCs w:val="22"/>
          <w:lang w:val="fr-LU" w:eastAsia="en-US"/>
        </w:rPr>
        <w:t> :</w:t>
      </w:r>
    </w:p>
    <w:p w:rsidR="002A5919" w:rsidRPr="00152B59" w:rsidRDefault="002A5919" w:rsidP="00152B59">
      <w:pPr>
        <w:spacing w:after="200" w:line="276" w:lineRule="auto"/>
        <w:rPr>
          <w:rFonts w:asciiTheme="minorHAnsi" w:eastAsiaTheme="minorHAnsi" w:hAnsiTheme="minorHAnsi" w:cstheme="minorBidi"/>
          <w:sz w:val="22"/>
          <w:szCs w:val="22"/>
          <w:lang w:val="fr-LU" w:eastAsia="en-US"/>
        </w:rPr>
      </w:pPr>
      <w:r>
        <w:rPr>
          <w:rFonts w:asciiTheme="minorHAnsi" w:eastAsiaTheme="minorHAnsi" w:hAnsiTheme="minorHAnsi" w:cstheme="minorBidi"/>
          <w:sz w:val="22"/>
          <w:szCs w:val="22"/>
          <w:lang w:val="fr-LU" w:eastAsia="en-US"/>
        </w:rPr>
        <w:t>Suite des discussions au sujet d’une réorganisation de la prise en charge des actes de kinésithérapie par la CNS</w:t>
      </w:r>
      <w:r w:rsidR="008700C4">
        <w:rPr>
          <w:rFonts w:asciiTheme="minorHAnsi" w:eastAsiaTheme="minorHAnsi" w:hAnsiTheme="minorHAnsi" w:cstheme="minorBidi"/>
          <w:sz w:val="22"/>
          <w:szCs w:val="22"/>
          <w:lang w:val="fr-LU" w:eastAsia="en-US"/>
        </w:rPr>
        <w:t xml:space="preserve"> dans le cadre du projet de nouvelle nomenclature.</w:t>
      </w:r>
    </w:p>
    <w:p w:rsidR="002A5919" w:rsidRDefault="002A5919" w:rsidP="00152B59">
      <w:pPr>
        <w:spacing w:after="200" w:line="276" w:lineRule="auto"/>
        <w:rPr>
          <w:rFonts w:asciiTheme="minorHAnsi" w:eastAsiaTheme="minorHAnsi" w:hAnsiTheme="minorHAnsi" w:cstheme="minorBidi"/>
          <w:sz w:val="22"/>
          <w:szCs w:val="22"/>
          <w:lang w:val="fr-LU" w:eastAsia="en-US"/>
        </w:rPr>
      </w:pP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Au début de la réunion, il est retenu que la présente entrevue devrait conduire à une conclusion des discussions menées depuis la décision prise au cours de la</w:t>
      </w:r>
      <w:r w:rsidR="002D6EE5">
        <w:rPr>
          <w:rFonts w:asciiTheme="minorHAnsi" w:eastAsiaTheme="minorHAnsi" w:hAnsiTheme="minorHAnsi" w:cstheme="minorBidi"/>
          <w:sz w:val="22"/>
          <w:szCs w:val="22"/>
          <w:lang w:val="fr-LU" w:eastAsia="en-US"/>
        </w:rPr>
        <w:t xml:space="preserve"> commission de nomenclature du 4</w:t>
      </w:r>
      <w:r w:rsidRPr="00152B59">
        <w:rPr>
          <w:rFonts w:asciiTheme="minorHAnsi" w:eastAsiaTheme="minorHAnsi" w:hAnsiTheme="minorHAnsi" w:cstheme="minorBidi"/>
          <w:sz w:val="22"/>
          <w:szCs w:val="22"/>
          <w:lang w:val="fr-LU" w:eastAsia="en-US"/>
        </w:rPr>
        <w:t xml:space="preserve"> juin 2014 de revoir le mode de prise en charge des actes de kinésithérapie avant la discussion définitive au sujet de la nouvelle nomenclature des kinésithérapeutes </w:t>
      </w:r>
      <w:r w:rsidR="002D6EE5">
        <w:rPr>
          <w:rFonts w:asciiTheme="minorHAnsi" w:eastAsiaTheme="minorHAnsi" w:hAnsiTheme="minorHAnsi" w:cstheme="minorBidi"/>
          <w:sz w:val="22"/>
          <w:szCs w:val="22"/>
          <w:lang w:val="fr-LU" w:eastAsia="en-US"/>
        </w:rPr>
        <w:t>au sein de la commission.</w:t>
      </w:r>
    </w:p>
    <w:p w:rsidR="002D6EE5" w:rsidRDefault="002D6EE5" w:rsidP="00152B59">
      <w:pPr>
        <w:spacing w:after="200" w:line="276" w:lineRule="auto"/>
        <w:rPr>
          <w:rFonts w:asciiTheme="minorHAnsi" w:eastAsiaTheme="minorHAnsi" w:hAnsiTheme="minorHAnsi" w:cstheme="minorBidi"/>
          <w:sz w:val="22"/>
          <w:szCs w:val="22"/>
          <w:lang w:val="fr-LU" w:eastAsia="en-US"/>
        </w:rPr>
      </w:pPr>
    </w:p>
    <w:p w:rsidR="002D6EE5" w:rsidRPr="002D6EE5" w:rsidRDefault="002D6EE5" w:rsidP="002D6EE5">
      <w:pPr>
        <w:pStyle w:val="Listenabsatz"/>
        <w:numPr>
          <w:ilvl w:val="0"/>
          <w:numId w:val="15"/>
        </w:numPr>
        <w:spacing w:after="200" w:line="276" w:lineRule="auto"/>
        <w:ind w:left="357" w:hanging="357"/>
        <w:rPr>
          <w:rFonts w:asciiTheme="minorHAnsi" w:eastAsiaTheme="minorHAnsi" w:hAnsiTheme="minorHAnsi" w:cstheme="minorBidi"/>
          <w:sz w:val="22"/>
          <w:szCs w:val="22"/>
          <w:lang w:val="fr-LU" w:eastAsia="en-US"/>
        </w:rPr>
      </w:pPr>
      <w:r>
        <w:rPr>
          <w:rFonts w:asciiTheme="minorHAnsi" w:eastAsiaTheme="minorHAnsi" w:hAnsiTheme="minorHAnsi" w:cstheme="minorBidi"/>
          <w:sz w:val="22"/>
          <w:szCs w:val="22"/>
          <w:lang w:val="fr-LU" w:eastAsia="en-US"/>
        </w:rPr>
        <w:t>Différenciation des cas de prise en charge</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Les représentants de l’ALK et de la CNS sont unanimement d’accord de moduler la prise en charge des actes de kinésithérapie en fonction des trois situations suivantes :</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Pathologie lourde</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Rééducation post-chirurgicale</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Pathologie courante</w:t>
      </w:r>
    </w:p>
    <w:p w:rsidR="002D6EE5" w:rsidRDefault="002D6EE5" w:rsidP="00152B59">
      <w:pPr>
        <w:spacing w:after="200" w:line="276" w:lineRule="auto"/>
        <w:rPr>
          <w:rFonts w:asciiTheme="minorHAnsi" w:eastAsiaTheme="minorHAnsi" w:hAnsiTheme="minorHAnsi" w:cstheme="minorBidi"/>
          <w:sz w:val="22"/>
          <w:szCs w:val="22"/>
          <w:lang w:val="fr-LU" w:eastAsia="en-US"/>
        </w:rPr>
      </w:pP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En ce qui concerne les </w:t>
      </w:r>
      <w:r w:rsidRPr="00152B59">
        <w:rPr>
          <w:rFonts w:asciiTheme="minorHAnsi" w:eastAsiaTheme="minorHAnsi" w:hAnsiTheme="minorHAnsi" w:cstheme="minorBidi"/>
          <w:sz w:val="22"/>
          <w:szCs w:val="22"/>
          <w:u w:val="single"/>
          <w:lang w:val="fr-LU" w:eastAsia="en-US"/>
        </w:rPr>
        <w:t>pathologies lourdes</w:t>
      </w:r>
      <w:r w:rsidRPr="00152B59">
        <w:rPr>
          <w:rFonts w:asciiTheme="minorHAnsi" w:eastAsiaTheme="minorHAnsi" w:hAnsiTheme="minorHAnsi" w:cstheme="minorBidi"/>
          <w:sz w:val="22"/>
          <w:szCs w:val="22"/>
          <w:lang w:val="fr-LU" w:eastAsia="en-US"/>
        </w:rPr>
        <w:t>, définies dans une liste à part, le médecin prescripteur pourra établir une ordonnance portant sur un maximum de 64 séances. Avant d’entamer le traitement, le patient ou le kinésithérapeute auquel s’est adressé le patient doivent demander une autorisation du Contrôle médical de la sécurité sociale (CMSS). Si à la fin de la série de traitement prescrite, une prolongation du traitement s’avère nécessaire, le kinésithérapeute établit une fiche de synthèse qu’il remet au patient. Le médecin auquel s’adresse le patient peut établir une nouvelle ordonnance en tenant compte de la fiche de synthèse pour un maximum de 64 séances. L’ordonnance de prolongation accompagnée de la fiche de synthèse est soumise au CMSS pour accord.</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lastRenderedPageBreak/>
        <w:t xml:space="preserve">En cas de </w:t>
      </w:r>
      <w:r w:rsidRPr="00152B59">
        <w:rPr>
          <w:rFonts w:asciiTheme="minorHAnsi" w:eastAsiaTheme="minorHAnsi" w:hAnsiTheme="minorHAnsi" w:cstheme="minorBidi"/>
          <w:sz w:val="22"/>
          <w:szCs w:val="22"/>
          <w:u w:val="single"/>
          <w:lang w:val="fr-LU" w:eastAsia="en-US"/>
        </w:rPr>
        <w:t>rééducation post-chirurgicale</w:t>
      </w:r>
      <w:r w:rsidRPr="00152B59">
        <w:rPr>
          <w:rFonts w:asciiTheme="minorHAnsi" w:eastAsiaTheme="minorHAnsi" w:hAnsiTheme="minorHAnsi" w:cstheme="minorBidi"/>
          <w:sz w:val="22"/>
          <w:szCs w:val="22"/>
          <w:lang w:val="fr-LU" w:eastAsia="en-US"/>
        </w:rPr>
        <w:t xml:space="preserve">, le chirurgien peut établir une ordonnance de kinésithérapie pour un maximum de 32 séances. L’ordonnance doit être établie dans un délai de 31 jours suite à l’intervention chirurgicale. L’accord de la CNS n’est pas requis pour la première série de traitement. </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Toutes les situations en dehors de la pathologie lourde et de la rééducation post-chirurgicale sont à considérer comme </w:t>
      </w:r>
      <w:r w:rsidRPr="00152B59">
        <w:rPr>
          <w:rFonts w:asciiTheme="minorHAnsi" w:eastAsiaTheme="minorHAnsi" w:hAnsiTheme="minorHAnsi" w:cstheme="minorBidi"/>
          <w:sz w:val="22"/>
          <w:szCs w:val="22"/>
          <w:u w:val="single"/>
          <w:lang w:val="fr-LU" w:eastAsia="en-US"/>
        </w:rPr>
        <w:t>pathologie courante</w:t>
      </w:r>
      <w:r w:rsidRPr="00152B59">
        <w:rPr>
          <w:rFonts w:asciiTheme="minorHAnsi" w:eastAsiaTheme="minorHAnsi" w:hAnsiTheme="minorHAnsi" w:cstheme="minorBidi"/>
          <w:sz w:val="22"/>
          <w:szCs w:val="22"/>
          <w:lang w:val="fr-LU" w:eastAsia="en-US"/>
        </w:rPr>
        <w:t>. Pour répondre à ces situations, chaque personne protégée a droit à 16 séances de kinésithérapie par année de calendrier sans devoir demander l’accord du CMSS. Au-delà de 16 séances par année</w:t>
      </w:r>
      <w:r w:rsidR="00135E8D">
        <w:rPr>
          <w:rFonts w:asciiTheme="minorHAnsi" w:eastAsiaTheme="minorHAnsi" w:hAnsiTheme="minorHAnsi" w:cstheme="minorBidi"/>
          <w:sz w:val="22"/>
          <w:szCs w:val="22"/>
          <w:lang w:val="fr-LU" w:eastAsia="en-US"/>
        </w:rPr>
        <w:t xml:space="preserve"> de calendrier, l’accord de la CNS</w:t>
      </w:r>
      <w:r w:rsidRPr="00152B59">
        <w:rPr>
          <w:rFonts w:asciiTheme="minorHAnsi" w:eastAsiaTheme="minorHAnsi" w:hAnsiTheme="minorHAnsi" w:cstheme="minorBidi"/>
          <w:sz w:val="22"/>
          <w:szCs w:val="22"/>
          <w:lang w:val="fr-LU" w:eastAsia="en-US"/>
        </w:rPr>
        <w:t xml:space="preserve"> est obligatoire.</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Selon l’ALK et la CNS, la prescription des traitements de kinésithérapie par les médecins devra suivre un modèle structuré, dont un premier modèle est présenté par l’ALK. Le modèle sera retravaillé et soumis </w:t>
      </w:r>
      <w:r w:rsidR="002D6EE5">
        <w:rPr>
          <w:rFonts w:asciiTheme="minorHAnsi" w:eastAsiaTheme="minorHAnsi" w:hAnsiTheme="minorHAnsi" w:cstheme="minorBidi"/>
          <w:sz w:val="22"/>
          <w:szCs w:val="22"/>
          <w:lang w:val="fr-LU" w:eastAsia="en-US"/>
        </w:rPr>
        <w:t xml:space="preserve">pour avis </w:t>
      </w:r>
      <w:r w:rsidRPr="00152B59">
        <w:rPr>
          <w:rFonts w:asciiTheme="minorHAnsi" w:eastAsiaTheme="minorHAnsi" w:hAnsiTheme="minorHAnsi" w:cstheme="minorBidi"/>
          <w:sz w:val="22"/>
          <w:szCs w:val="22"/>
          <w:lang w:val="fr-LU" w:eastAsia="en-US"/>
        </w:rPr>
        <w:t>à l’AMMD qui a donné son accord de principe à une démarche d’ordonnance structurée.</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L’introduction de la limite des 16 séances implique l’existence d’un moyen de vérification du nombre de séances prises en charge par assuré pour l’année en cours. Ceci nécessite l’accès électronique des cabinets de kinésithérapie aux données de la CNS, à l’instar des hôpitaux, des pharmacies et dorénavant des laboratoires. Cet accès permettra aux kinésithérapeutes de vérifier l’état d’affiliation </w:t>
      </w:r>
      <w:r w:rsidR="002D6EE5">
        <w:rPr>
          <w:rFonts w:asciiTheme="minorHAnsi" w:eastAsiaTheme="minorHAnsi" w:hAnsiTheme="minorHAnsi" w:cstheme="minorBidi"/>
          <w:sz w:val="22"/>
          <w:szCs w:val="22"/>
          <w:lang w:val="fr-LU" w:eastAsia="en-US"/>
        </w:rPr>
        <w:t xml:space="preserve">du patient </w:t>
      </w:r>
      <w:r w:rsidRPr="00152B59">
        <w:rPr>
          <w:rFonts w:asciiTheme="minorHAnsi" w:eastAsiaTheme="minorHAnsi" w:hAnsiTheme="minorHAnsi" w:cstheme="minorBidi"/>
          <w:sz w:val="22"/>
          <w:szCs w:val="22"/>
          <w:lang w:val="fr-LU" w:eastAsia="en-US"/>
        </w:rPr>
        <w:t>et le nombre de séances de kinésithérapie prises en charge pour l’année en cours.</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Afin d’éviter les dérives liées au tiers-payant, l’ALK propose </w:t>
      </w:r>
      <w:r w:rsidR="002D6EE5">
        <w:rPr>
          <w:rFonts w:asciiTheme="minorHAnsi" w:eastAsiaTheme="minorHAnsi" w:hAnsiTheme="minorHAnsi" w:cstheme="minorBidi"/>
          <w:sz w:val="22"/>
          <w:szCs w:val="22"/>
          <w:lang w:val="fr-LU" w:eastAsia="en-US"/>
        </w:rPr>
        <w:t xml:space="preserve">à la CNS </w:t>
      </w:r>
      <w:r w:rsidRPr="00152B59">
        <w:rPr>
          <w:rFonts w:asciiTheme="minorHAnsi" w:eastAsiaTheme="minorHAnsi" w:hAnsiTheme="minorHAnsi" w:cstheme="minorBidi"/>
          <w:sz w:val="22"/>
          <w:szCs w:val="22"/>
          <w:lang w:val="fr-LU" w:eastAsia="en-US"/>
        </w:rPr>
        <w:t xml:space="preserve">d’établir des relevés de prestations à l’adresse des assurés qui pourraient ainsi vérifier l’exactitude de la facturation des kinésithérapeutes. </w:t>
      </w:r>
    </w:p>
    <w:p w:rsidR="00152B59" w:rsidRDefault="00152B59" w:rsidP="00152B59">
      <w:pPr>
        <w:spacing w:after="200" w:line="276" w:lineRule="auto"/>
        <w:rPr>
          <w:rFonts w:asciiTheme="minorHAnsi" w:eastAsiaTheme="minorHAnsi" w:hAnsiTheme="minorHAnsi" w:cstheme="minorBidi"/>
          <w:sz w:val="22"/>
          <w:szCs w:val="22"/>
          <w:lang w:val="fr-LU" w:eastAsia="en-US"/>
        </w:rPr>
      </w:pPr>
    </w:p>
    <w:p w:rsidR="002D6EE5" w:rsidRPr="002D6EE5" w:rsidRDefault="002D6EE5" w:rsidP="002D6EE5">
      <w:pPr>
        <w:pStyle w:val="Listenabsatz"/>
        <w:numPr>
          <w:ilvl w:val="0"/>
          <w:numId w:val="15"/>
        </w:numPr>
        <w:spacing w:after="200" w:line="276" w:lineRule="auto"/>
        <w:ind w:left="357" w:hanging="357"/>
        <w:rPr>
          <w:rFonts w:asciiTheme="minorHAnsi" w:eastAsiaTheme="minorHAnsi" w:hAnsiTheme="minorHAnsi" w:cstheme="minorBidi"/>
          <w:sz w:val="22"/>
          <w:szCs w:val="22"/>
          <w:lang w:val="fr-LU" w:eastAsia="en-US"/>
        </w:rPr>
      </w:pPr>
      <w:r>
        <w:rPr>
          <w:rFonts w:asciiTheme="minorHAnsi" w:eastAsiaTheme="minorHAnsi" w:hAnsiTheme="minorHAnsi" w:cstheme="minorBidi"/>
          <w:sz w:val="22"/>
          <w:szCs w:val="22"/>
          <w:lang w:val="fr-LU" w:eastAsia="en-US"/>
        </w:rPr>
        <w:t>Autres modifications conventionnelles</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Sont ensuite discutés </w:t>
      </w:r>
      <w:r w:rsidR="002D6EE5">
        <w:rPr>
          <w:rFonts w:asciiTheme="minorHAnsi" w:eastAsiaTheme="minorHAnsi" w:hAnsiTheme="minorHAnsi" w:cstheme="minorBidi"/>
          <w:sz w:val="22"/>
          <w:szCs w:val="22"/>
          <w:lang w:val="fr-LU" w:eastAsia="en-US"/>
        </w:rPr>
        <w:t>différents</w:t>
      </w:r>
      <w:r w:rsidRPr="00152B59">
        <w:rPr>
          <w:rFonts w:asciiTheme="minorHAnsi" w:eastAsiaTheme="minorHAnsi" w:hAnsiTheme="minorHAnsi" w:cstheme="minorBidi"/>
          <w:sz w:val="22"/>
          <w:szCs w:val="22"/>
          <w:lang w:val="fr-LU" w:eastAsia="en-US"/>
        </w:rPr>
        <w:t xml:space="preserve"> sujets relevant de la convention, notamment :</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Les représentants de l’ALK soutiennent le principe de la facturation par le kinésithérapeute exécutant. Ceci n’exclut pas que les kinésithérapeutes exerçant en association puissent recevoir les montants facturés en tiers-payant sur un même compte bancaire.</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Les dispositions conventionnelles obligatoires introduites par la loi réforme de 2010 mettent en évidence les standards de référence en matière de qualité. Dans ce contexte, l’ALK soutient l’introduction de normes d’installation pour les cabinets de kinésithérapie.</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Suite à une modification légale, l’indication du lieu de prestation est devenue obligatoire pour tous les prestataires de santé. Pour les représentants de l’ALK, la facturation des actes de la nomenclature devrait être réservée aux kinésithérapeutes exerçant en cabinet libéral. Par ailleurs, la pratique des visites à domicile devrait obligatoirement être liée à l’existence d’une adresse professionnelle du kinésithérapeute.</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Si le mode du tiers-payant reste une option pour le kinésithérapeute, la CNS insiste sur la facturation exclusivement électronique </w:t>
      </w:r>
      <w:r w:rsidR="002D6EE5">
        <w:rPr>
          <w:rFonts w:asciiTheme="minorHAnsi" w:eastAsiaTheme="minorHAnsi" w:hAnsiTheme="minorHAnsi" w:cstheme="minorBidi"/>
          <w:sz w:val="22"/>
          <w:szCs w:val="22"/>
          <w:lang w:val="fr-LU" w:eastAsia="en-US"/>
        </w:rPr>
        <w:t xml:space="preserve">en cas d’application de </w:t>
      </w:r>
      <w:r w:rsidRPr="00152B59">
        <w:rPr>
          <w:rFonts w:asciiTheme="minorHAnsi" w:eastAsiaTheme="minorHAnsi" w:hAnsiTheme="minorHAnsi" w:cstheme="minorBidi"/>
          <w:sz w:val="22"/>
          <w:szCs w:val="22"/>
          <w:lang w:val="fr-LU" w:eastAsia="en-US"/>
        </w:rPr>
        <w:t>ce mode de prise en charge. L’ALK demande en contrepartie une indemnité pour frais informatiques, à l’instar de ce qui se fait en Belgique.</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 xml:space="preserve">Il est retenu par les parties que le kinésithérapeute devra émettre une facture au patient dans tous </w:t>
      </w:r>
      <w:r w:rsidR="00B82E84">
        <w:rPr>
          <w:rFonts w:asciiTheme="minorHAnsi" w:eastAsiaTheme="minorHAnsi" w:hAnsiTheme="minorHAnsi" w:cstheme="minorBidi"/>
          <w:sz w:val="22"/>
          <w:szCs w:val="22"/>
          <w:lang w:val="fr-LU" w:eastAsia="en-US"/>
        </w:rPr>
        <w:t xml:space="preserve">les </w:t>
      </w:r>
      <w:r w:rsidRPr="00152B59">
        <w:rPr>
          <w:rFonts w:asciiTheme="minorHAnsi" w:eastAsiaTheme="minorHAnsi" w:hAnsiTheme="minorHAnsi" w:cstheme="minorBidi"/>
          <w:sz w:val="22"/>
          <w:szCs w:val="22"/>
          <w:lang w:val="fr-LU" w:eastAsia="en-US"/>
        </w:rPr>
        <w:t>cas, indépendamment du mode de prise en charge.</w:t>
      </w:r>
    </w:p>
    <w:p w:rsidR="002D6EE5" w:rsidRDefault="002D6EE5" w:rsidP="00152B59">
      <w:pPr>
        <w:spacing w:after="200" w:line="276" w:lineRule="auto"/>
        <w:rPr>
          <w:rFonts w:asciiTheme="minorHAnsi" w:eastAsiaTheme="minorHAnsi" w:hAnsiTheme="minorHAnsi" w:cstheme="minorBidi"/>
          <w:sz w:val="22"/>
          <w:szCs w:val="22"/>
          <w:lang w:val="fr-LU" w:eastAsia="en-US"/>
        </w:rPr>
      </w:pPr>
    </w:p>
    <w:p w:rsidR="002D6EE5" w:rsidRPr="002D6EE5" w:rsidRDefault="002D6EE5" w:rsidP="002D6EE5">
      <w:pPr>
        <w:pStyle w:val="Listenabsatz"/>
        <w:numPr>
          <w:ilvl w:val="0"/>
          <w:numId w:val="15"/>
        </w:numPr>
        <w:spacing w:after="200" w:line="276" w:lineRule="auto"/>
        <w:ind w:left="357" w:hanging="357"/>
        <w:rPr>
          <w:rFonts w:asciiTheme="minorHAnsi" w:eastAsiaTheme="minorHAnsi" w:hAnsiTheme="minorHAnsi" w:cstheme="minorBidi"/>
          <w:sz w:val="22"/>
          <w:szCs w:val="22"/>
          <w:lang w:val="fr-LU" w:eastAsia="en-US"/>
        </w:rPr>
      </w:pPr>
      <w:r>
        <w:rPr>
          <w:rFonts w:asciiTheme="minorHAnsi" w:eastAsiaTheme="minorHAnsi" w:hAnsiTheme="minorHAnsi" w:cstheme="minorBidi"/>
          <w:sz w:val="22"/>
          <w:szCs w:val="22"/>
          <w:lang w:val="fr-LU" w:eastAsia="en-US"/>
        </w:rPr>
        <w:t>Nouvelle nomenclature</w:t>
      </w:r>
    </w:p>
    <w:p w:rsidR="00152B59" w:rsidRPr="00152B59" w:rsidRDefault="00152B59" w:rsidP="00152B59">
      <w:pPr>
        <w:spacing w:after="200" w:line="276" w:lineRule="auto"/>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lastRenderedPageBreak/>
        <w:t>Enfin, il est soulevé qu’il reste des points à clarifier dans la nouvelle nomenclature, à savoir :</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La définition et la fréquence du bilan que le médecin peut demander au kinésithérapeute sont à préciser. Les représentants de l’ALK se prononcent en faveur d’un type d’ordonnance spécifique « bilan ».</w:t>
      </w:r>
    </w:p>
    <w:p w:rsidR="00152B59" w:rsidRPr="00152B59" w:rsidRDefault="00152B59" w:rsidP="00152B59">
      <w:pPr>
        <w:numPr>
          <w:ilvl w:val="0"/>
          <w:numId w:val="14"/>
        </w:numPr>
        <w:spacing w:after="200" w:line="276" w:lineRule="auto"/>
        <w:contextualSpacing/>
        <w:rPr>
          <w:rFonts w:asciiTheme="minorHAnsi" w:eastAsiaTheme="minorHAnsi" w:hAnsiTheme="minorHAnsi" w:cstheme="minorBidi"/>
          <w:sz w:val="22"/>
          <w:szCs w:val="22"/>
          <w:lang w:val="fr-LU" w:eastAsia="en-US"/>
        </w:rPr>
      </w:pPr>
      <w:r w:rsidRPr="00152B59">
        <w:rPr>
          <w:rFonts w:asciiTheme="minorHAnsi" w:eastAsiaTheme="minorHAnsi" w:hAnsiTheme="minorHAnsi" w:cstheme="minorBidi"/>
          <w:sz w:val="22"/>
          <w:szCs w:val="22"/>
          <w:lang w:val="fr-LU" w:eastAsia="en-US"/>
        </w:rPr>
        <w:t>Il manque la partie générale de la nouvelle nomenclature.</w:t>
      </w:r>
    </w:p>
    <w:p w:rsidR="00C815E8" w:rsidRPr="00C815E8" w:rsidRDefault="00152B59" w:rsidP="007D51DE">
      <w:pPr>
        <w:numPr>
          <w:ilvl w:val="0"/>
          <w:numId w:val="14"/>
        </w:numPr>
        <w:spacing w:after="200" w:line="276" w:lineRule="auto"/>
        <w:contextualSpacing/>
        <w:rPr>
          <w:rFonts w:eastAsia="Calibri"/>
          <w:lang w:val="fr-LU"/>
        </w:rPr>
      </w:pPr>
      <w:r w:rsidRPr="00152B59">
        <w:rPr>
          <w:rFonts w:asciiTheme="minorHAnsi" w:eastAsiaTheme="minorHAnsi" w:hAnsiTheme="minorHAnsi" w:cstheme="minorBidi"/>
          <w:sz w:val="22"/>
          <w:szCs w:val="22"/>
          <w:lang w:val="fr-LU" w:eastAsia="en-US"/>
        </w:rPr>
        <w:t>Les libellés des nouveaux codes ZK31 et ZK32 sont à modifier pour tenir compte du schéma de différenciation des patients décrit plus haut.</w:t>
      </w:r>
    </w:p>
    <w:p w:rsidR="00C815E8" w:rsidRDefault="00C815E8" w:rsidP="00C815E8">
      <w:pPr>
        <w:spacing w:after="200" w:line="276" w:lineRule="auto"/>
        <w:contextualSpacing/>
        <w:rPr>
          <w:rFonts w:asciiTheme="minorHAnsi" w:eastAsiaTheme="minorHAnsi" w:hAnsiTheme="minorHAnsi" w:cstheme="minorBidi"/>
          <w:sz w:val="22"/>
          <w:szCs w:val="22"/>
          <w:lang w:val="fr-LU" w:eastAsia="en-US"/>
        </w:rPr>
      </w:pPr>
    </w:p>
    <w:p w:rsidR="002D6EE5" w:rsidRDefault="002D6EE5" w:rsidP="00C815E8">
      <w:pPr>
        <w:spacing w:after="200" w:line="276" w:lineRule="auto"/>
        <w:contextualSpacing/>
        <w:rPr>
          <w:rFonts w:ascii="Calibri" w:eastAsiaTheme="minorHAnsi" w:hAnsi="Calibri" w:cs="Calibri"/>
          <w:sz w:val="22"/>
          <w:szCs w:val="22"/>
          <w:lang w:val="fr-LU" w:eastAsia="en-US"/>
        </w:rPr>
      </w:pPr>
    </w:p>
    <w:p w:rsidR="002D6EE5" w:rsidRPr="002D6EE5" w:rsidRDefault="002D6EE5" w:rsidP="002D6EE5">
      <w:pPr>
        <w:pStyle w:val="Listenabsatz"/>
        <w:numPr>
          <w:ilvl w:val="0"/>
          <w:numId w:val="15"/>
        </w:numPr>
        <w:spacing w:after="200" w:line="276" w:lineRule="auto"/>
        <w:ind w:left="357" w:hanging="357"/>
        <w:rPr>
          <w:rFonts w:ascii="Calibri" w:eastAsiaTheme="minorHAnsi" w:hAnsi="Calibri" w:cs="Calibri"/>
          <w:sz w:val="22"/>
          <w:szCs w:val="22"/>
          <w:lang w:val="fr-LU" w:eastAsia="en-US"/>
        </w:rPr>
      </w:pPr>
      <w:r>
        <w:rPr>
          <w:rFonts w:ascii="Calibri" w:eastAsiaTheme="minorHAnsi" w:hAnsi="Calibri" w:cs="Calibri"/>
          <w:sz w:val="22"/>
          <w:szCs w:val="22"/>
          <w:lang w:val="fr-LU" w:eastAsia="en-US"/>
        </w:rPr>
        <w:t>Conclusion</w:t>
      </w:r>
    </w:p>
    <w:p w:rsidR="00C815E8" w:rsidRDefault="00C815E8" w:rsidP="00C815E8">
      <w:pPr>
        <w:spacing w:after="200" w:line="276" w:lineRule="auto"/>
        <w:contextualSpacing/>
        <w:rPr>
          <w:rFonts w:ascii="Calibri" w:eastAsia="Calibri" w:hAnsi="Calibri" w:cs="Calibri"/>
          <w:sz w:val="22"/>
          <w:szCs w:val="22"/>
          <w:lang w:val="fr-LU"/>
        </w:rPr>
      </w:pPr>
      <w:r w:rsidRPr="00C815E8">
        <w:rPr>
          <w:rFonts w:ascii="Calibri" w:eastAsiaTheme="minorHAnsi" w:hAnsi="Calibri" w:cs="Calibri"/>
          <w:sz w:val="22"/>
          <w:szCs w:val="22"/>
          <w:lang w:val="fr-LU" w:eastAsia="en-US"/>
        </w:rPr>
        <w:t xml:space="preserve">En conclusion, les parties retiennent les nouvelles modalités </w:t>
      </w:r>
      <w:r w:rsidRPr="00C815E8">
        <w:rPr>
          <w:rFonts w:ascii="Calibri" w:eastAsia="Calibri" w:hAnsi="Calibri" w:cs="Calibri"/>
          <w:sz w:val="22"/>
          <w:szCs w:val="22"/>
          <w:lang w:val="fr-LU"/>
        </w:rPr>
        <w:t xml:space="preserve">de prise en charge décrites au point 1. Elles conviennent de finaliser le texte de la nouvelle nomenclature et de préparer </w:t>
      </w:r>
      <w:r>
        <w:rPr>
          <w:rFonts w:ascii="Calibri" w:eastAsia="Calibri" w:hAnsi="Calibri" w:cs="Calibri"/>
          <w:sz w:val="22"/>
          <w:szCs w:val="22"/>
          <w:lang w:val="fr-LU"/>
        </w:rPr>
        <w:t>ensemble un projet de r</w:t>
      </w:r>
      <w:r w:rsidRPr="00C815E8">
        <w:rPr>
          <w:rFonts w:ascii="Calibri" w:eastAsia="Calibri" w:hAnsi="Calibri" w:cs="Calibri"/>
          <w:sz w:val="22"/>
          <w:szCs w:val="22"/>
          <w:lang w:val="fr-LU"/>
        </w:rPr>
        <w:t>ecommandation circonstan</w:t>
      </w:r>
      <w:r>
        <w:rPr>
          <w:rFonts w:ascii="Calibri" w:eastAsia="Calibri" w:hAnsi="Calibri" w:cs="Calibri"/>
          <w:sz w:val="22"/>
          <w:szCs w:val="22"/>
          <w:lang w:val="fr-LU"/>
        </w:rPr>
        <w:t>ciée pou</w:t>
      </w:r>
      <w:r w:rsidR="002D6EE5">
        <w:rPr>
          <w:rFonts w:ascii="Calibri" w:eastAsia="Calibri" w:hAnsi="Calibri" w:cs="Calibri"/>
          <w:sz w:val="22"/>
          <w:szCs w:val="22"/>
          <w:lang w:val="fr-LU"/>
        </w:rPr>
        <w:t>r la commission de nomenclature dans une prochaine réunion.</w:t>
      </w:r>
    </w:p>
    <w:p w:rsidR="00C815E8" w:rsidRPr="00C815E8" w:rsidRDefault="00C815E8" w:rsidP="00C815E8">
      <w:pPr>
        <w:spacing w:after="200" w:line="276" w:lineRule="auto"/>
        <w:contextualSpacing/>
        <w:rPr>
          <w:rFonts w:ascii="Calibri" w:eastAsia="Calibri" w:hAnsi="Calibri" w:cs="Calibri"/>
          <w:sz w:val="22"/>
          <w:szCs w:val="22"/>
          <w:lang w:val="fr-LU"/>
        </w:rPr>
      </w:pPr>
    </w:p>
    <w:p w:rsidR="00886C10" w:rsidRPr="00C815E8" w:rsidRDefault="00C815E8" w:rsidP="00C815E8">
      <w:pPr>
        <w:spacing w:after="200" w:line="276" w:lineRule="auto"/>
        <w:contextualSpacing/>
        <w:rPr>
          <w:rFonts w:ascii="Calibri" w:eastAsia="Calibri" w:hAnsi="Calibri" w:cs="Calibri"/>
          <w:sz w:val="22"/>
          <w:szCs w:val="22"/>
          <w:lang w:val="fr-LU"/>
        </w:rPr>
      </w:pPr>
      <w:r w:rsidRPr="00C815E8">
        <w:rPr>
          <w:rFonts w:ascii="Calibri" w:eastAsia="Calibri" w:hAnsi="Calibri" w:cs="Calibri"/>
          <w:sz w:val="22"/>
          <w:szCs w:val="22"/>
          <w:lang w:val="fr-LU"/>
        </w:rPr>
        <w:t xml:space="preserve">  </w:t>
      </w:r>
    </w:p>
    <w:sectPr w:rsidR="00886C10" w:rsidRPr="00C815E8" w:rsidSect="00154017">
      <w:footerReference w:type="default" r:id="rId8"/>
      <w:headerReference w:type="first" r:id="rId9"/>
      <w:pgSz w:w="11906" w:h="16838" w:code="9"/>
      <w:pgMar w:top="1440" w:right="1304" w:bottom="1134"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21" w:rsidRDefault="00283221">
      <w:r>
        <w:separator/>
      </w:r>
    </w:p>
  </w:endnote>
  <w:endnote w:type="continuationSeparator" w:id="0">
    <w:p w:rsidR="00283221" w:rsidRDefault="0028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C4" w:rsidRDefault="008700C4">
    <w:pPr>
      <w:pStyle w:val="Fuzeile"/>
      <w:jc w:val="center"/>
    </w:pPr>
    <w:r>
      <w:fldChar w:fldCharType="begin"/>
    </w:r>
    <w:r>
      <w:instrText xml:space="preserve"> PAGE   \* MERGEFORMAT </w:instrText>
    </w:r>
    <w:r>
      <w:fldChar w:fldCharType="separate"/>
    </w:r>
    <w:r w:rsidR="00C65F3C">
      <w:rPr>
        <w:noProof/>
      </w:rPr>
      <w:t>3</w:t>
    </w:r>
    <w:r>
      <w:rPr>
        <w:noProof/>
      </w:rPr>
      <w:fldChar w:fldCharType="end"/>
    </w:r>
  </w:p>
  <w:p w:rsidR="008700C4" w:rsidRDefault="00870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21" w:rsidRDefault="00283221">
      <w:r>
        <w:separator/>
      </w:r>
    </w:p>
  </w:footnote>
  <w:footnote w:type="continuationSeparator" w:id="0">
    <w:p w:rsidR="00283221" w:rsidRDefault="0028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3"/>
      <w:gridCol w:w="4601"/>
    </w:tblGrid>
    <w:tr w:rsidR="008700C4" w:rsidRPr="00C25A25" w:rsidTr="00700E7A">
      <w:tc>
        <w:tcPr>
          <w:tcW w:w="10912" w:type="dxa"/>
          <w:gridSpan w:val="2"/>
          <w:shd w:val="clear" w:color="auto" w:fill="auto"/>
        </w:tcPr>
        <w:p w:rsidR="008700C4" w:rsidRPr="00C25A25" w:rsidRDefault="008700C4" w:rsidP="00700E7A">
          <w:pPr>
            <w:pStyle w:val="Datum"/>
            <w:pBdr>
              <w:bottom w:val="single" w:sz="4" w:space="1" w:color="auto"/>
            </w:pBdr>
          </w:pPr>
          <w:r w:rsidRPr="00700E7A">
            <w:rPr>
              <w:rFonts w:cs="Arial"/>
              <w:b/>
              <w:sz w:val="15"/>
              <w:szCs w:val="15"/>
            </w:rPr>
            <w:t>Caisse Nationale de Santé</w:t>
          </w:r>
          <w:r w:rsidRPr="00700E7A">
            <w:rPr>
              <w:rFonts w:cs="Arial"/>
              <w:sz w:val="15"/>
              <w:szCs w:val="15"/>
            </w:rPr>
            <w:t xml:space="preserve">   |   </w:t>
          </w:r>
          <w:r w:rsidRPr="00700E7A">
            <w:rPr>
              <w:rFonts w:cs="Arial"/>
              <w:sz w:val="13"/>
              <w:szCs w:val="13"/>
            </w:rPr>
            <w:t>Téléphone: 2757-1   |   Fax: 2757-2758   |   B.P.1023  L-1010 Luxembourg   |   Bureaux:  125, route d'Esch, Luxembourg</w:t>
          </w:r>
        </w:p>
      </w:tc>
    </w:tr>
    <w:tr w:rsidR="008700C4" w:rsidRPr="00C25A25" w:rsidTr="00700E7A">
      <w:trPr>
        <w:trHeight w:hRule="exact" w:val="340"/>
      </w:trPr>
      <w:tc>
        <w:tcPr>
          <w:tcW w:w="10912" w:type="dxa"/>
          <w:gridSpan w:val="2"/>
          <w:shd w:val="clear" w:color="auto" w:fill="auto"/>
        </w:tcPr>
        <w:p w:rsidR="008700C4" w:rsidRPr="00C25A25" w:rsidRDefault="008700C4" w:rsidP="000F4970">
          <w:pPr>
            <w:pStyle w:val="Datum"/>
          </w:pPr>
        </w:p>
      </w:tc>
    </w:tr>
    <w:tr w:rsidR="008700C4" w:rsidTr="00700E7A">
      <w:tc>
        <w:tcPr>
          <w:tcW w:w="5456" w:type="dxa"/>
          <w:shd w:val="clear" w:color="auto" w:fill="auto"/>
        </w:tcPr>
        <w:p w:rsidR="008700C4" w:rsidRDefault="008700C4" w:rsidP="00660443">
          <w:r>
            <w:rPr>
              <w:noProof/>
              <w:lang w:val="de-LU" w:eastAsia="de-LU"/>
            </w:rPr>
            <w:drawing>
              <wp:inline distT="0" distB="0" distL="0" distR="0" wp14:anchorId="004FB520" wp14:editId="0CE4335E">
                <wp:extent cx="1216660" cy="721360"/>
                <wp:effectExtent l="0" t="0" r="2540" b="2540"/>
                <wp:docPr id="1" name="Picture 1" desc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721360"/>
                        </a:xfrm>
                        <a:prstGeom prst="rect">
                          <a:avLst/>
                        </a:prstGeom>
                        <a:noFill/>
                        <a:ln>
                          <a:noFill/>
                        </a:ln>
                      </pic:spPr>
                    </pic:pic>
                  </a:graphicData>
                </a:graphic>
              </wp:inline>
            </w:drawing>
          </w:r>
        </w:p>
      </w:tc>
      <w:tc>
        <w:tcPr>
          <w:tcW w:w="5456" w:type="dxa"/>
          <w:shd w:val="clear" w:color="auto" w:fill="auto"/>
          <w:vAlign w:val="bottom"/>
        </w:tcPr>
        <w:p w:rsidR="008700C4" w:rsidRPr="00C25A25" w:rsidRDefault="008700C4" w:rsidP="00D06D6C">
          <w:pPr>
            <w:pStyle w:val="Datum"/>
          </w:pPr>
        </w:p>
      </w:tc>
    </w:tr>
    <w:tr w:rsidR="008700C4" w:rsidTr="00700E7A">
      <w:trPr>
        <w:trHeight w:val="907"/>
      </w:trPr>
      <w:tc>
        <w:tcPr>
          <w:tcW w:w="5456" w:type="dxa"/>
          <w:shd w:val="clear" w:color="auto" w:fill="auto"/>
        </w:tcPr>
        <w:p w:rsidR="008700C4" w:rsidRDefault="008700C4" w:rsidP="00660443"/>
      </w:tc>
      <w:tc>
        <w:tcPr>
          <w:tcW w:w="5456" w:type="dxa"/>
          <w:shd w:val="clear" w:color="auto" w:fill="auto"/>
        </w:tcPr>
        <w:p w:rsidR="008700C4" w:rsidRDefault="008700C4" w:rsidP="00660443"/>
      </w:tc>
    </w:tr>
  </w:tbl>
  <w:p w:rsidR="008700C4" w:rsidRPr="00167A65" w:rsidRDefault="008700C4" w:rsidP="001462B7">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82D3EE"/>
    <w:lvl w:ilvl="0">
      <w:start w:val="1"/>
      <w:numFmt w:val="decimal"/>
      <w:lvlText w:val="%1."/>
      <w:lvlJc w:val="left"/>
      <w:pPr>
        <w:tabs>
          <w:tab w:val="num" w:pos="1492"/>
        </w:tabs>
        <w:ind w:left="1492" w:hanging="360"/>
      </w:pPr>
    </w:lvl>
  </w:abstractNum>
  <w:abstractNum w:abstractNumId="1">
    <w:nsid w:val="FFFFFF7D"/>
    <w:multiLevelType w:val="singleLevel"/>
    <w:tmpl w:val="48BCB408"/>
    <w:lvl w:ilvl="0">
      <w:start w:val="1"/>
      <w:numFmt w:val="decimal"/>
      <w:lvlText w:val="%1."/>
      <w:lvlJc w:val="left"/>
      <w:pPr>
        <w:tabs>
          <w:tab w:val="num" w:pos="1209"/>
        </w:tabs>
        <w:ind w:left="1209" w:hanging="360"/>
      </w:pPr>
    </w:lvl>
  </w:abstractNum>
  <w:abstractNum w:abstractNumId="2">
    <w:nsid w:val="FFFFFF7E"/>
    <w:multiLevelType w:val="singleLevel"/>
    <w:tmpl w:val="1A8CBBC0"/>
    <w:lvl w:ilvl="0">
      <w:start w:val="1"/>
      <w:numFmt w:val="decimal"/>
      <w:lvlText w:val="%1."/>
      <w:lvlJc w:val="left"/>
      <w:pPr>
        <w:tabs>
          <w:tab w:val="num" w:pos="926"/>
        </w:tabs>
        <w:ind w:left="926" w:hanging="360"/>
      </w:pPr>
    </w:lvl>
  </w:abstractNum>
  <w:abstractNum w:abstractNumId="3">
    <w:nsid w:val="FFFFFF7F"/>
    <w:multiLevelType w:val="singleLevel"/>
    <w:tmpl w:val="42C63CB4"/>
    <w:lvl w:ilvl="0">
      <w:start w:val="1"/>
      <w:numFmt w:val="decimal"/>
      <w:lvlText w:val="%1."/>
      <w:lvlJc w:val="left"/>
      <w:pPr>
        <w:tabs>
          <w:tab w:val="num" w:pos="643"/>
        </w:tabs>
        <w:ind w:left="643" w:hanging="360"/>
      </w:pPr>
    </w:lvl>
  </w:abstractNum>
  <w:abstractNum w:abstractNumId="4">
    <w:nsid w:val="FFFFFF80"/>
    <w:multiLevelType w:val="singleLevel"/>
    <w:tmpl w:val="D44C24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1832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1634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805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B01EBA"/>
    <w:lvl w:ilvl="0">
      <w:start w:val="1"/>
      <w:numFmt w:val="decimal"/>
      <w:lvlText w:val="%1."/>
      <w:lvlJc w:val="left"/>
      <w:pPr>
        <w:tabs>
          <w:tab w:val="num" w:pos="360"/>
        </w:tabs>
        <w:ind w:left="360" w:hanging="360"/>
      </w:pPr>
    </w:lvl>
  </w:abstractNum>
  <w:abstractNum w:abstractNumId="9">
    <w:nsid w:val="FFFFFF89"/>
    <w:multiLevelType w:val="singleLevel"/>
    <w:tmpl w:val="484E5C56"/>
    <w:lvl w:ilvl="0">
      <w:start w:val="1"/>
      <w:numFmt w:val="bullet"/>
      <w:lvlText w:val=""/>
      <w:lvlJc w:val="left"/>
      <w:pPr>
        <w:tabs>
          <w:tab w:val="num" w:pos="360"/>
        </w:tabs>
        <w:ind w:left="360" w:hanging="360"/>
      </w:pPr>
      <w:rPr>
        <w:rFonts w:ascii="Symbol" w:hAnsi="Symbol" w:hint="default"/>
      </w:rPr>
    </w:lvl>
  </w:abstractNum>
  <w:abstractNum w:abstractNumId="10">
    <w:nsid w:val="04CB0830"/>
    <w:multiLevelType w:val="hybridMultilevel"/>
    <w:tmpl w:val="A1CA47A2"/>
    <w:lvl w:ilvl="0" w:tplc="841471E4">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nsid w:val="158679A4"/>
    <w:multiLevelType w:val="hybridMultilevel"/>
    <w:tmpl w:val="5DF2A37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E6D52A4"/>
    <w:multiLevelType w:val="hybridMultilevel"/>
    <w:tmpl w:val="92C40CEC"/>
    <w:lvl w:ilvl="0" w:tplc="3D9CE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94B43"/>
    <w:multiLevelType w:val="hybridMultilevel"/>
    <w:tmpl w:val="73A60B8C"/>
    <w:lvl w:ilvl="0" w:tplc="333CF8D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0860803"/>
    <w:multiLevelType w:val="hybridMultilevel"/>
    <w:tmpl w:val="D444D7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6"/>
    <w:rsid w:val="00003081"/>
    <w:rsid w:val="00011B33"/>
    <w:rsid w:val="00017A91"/>
    <w:rsid w:val="0002605F"/>
    <w:rsid w:val="00030D43"/>
    <w:rsid w:val="0003297C"/>
    <w:rsid w:val="00033986"/>
    <w:rsid w:val="000339DC"/>
    <w:rsid w:val="00035BAB"/>
    <w:rsid w:val="000520F6"/>
    <w:rsid w:val="00057C96"/>
    <w:rsid w:val="00062AB5"/>
    <w:rsid w:val="00070A4E"/>
    <w:rsid w:val="00071DDB"/>
    <w:rsid w:val="00077C23"/>
    <w:rsid w:val="00092B4B"/>
    <w:rsid w:val="000C68A9"/>
    <w:rsid w:val="000D1F3B"/>
    <w:rsid w:val="000E040C"/>
    <w:rsid w:val="000F409A"/>
    <w:rsid w:val="000F4970"/>
    <w:rsid w:val="000F5263"/>
    <w:rsid w:val="00110849"/>
    <w:rsid w:val="001227F7"/>
    <w:rsid w:val="00126A35"/>
    <w:rsid w:val="001335EB"/>
    <w:rsid w:val="00135E8D"/>
    <w:rsid w:val="001462B7"/>
    <w:rsid w:val="00147437"/>
    <w:rsid w:val="00152B59"/>
    <w:rsid w:val="00154017"/>
    <w:rsid w:val="00167A65"/>
    <w:rsid w:val="001809AD"/>
    <w:rsid w:val="001827DB"/>
    <w:rsid w:val="001844FE"/>
    <w:rsid w:val="00184A46"/>
    <w:rsid w:val="00184E3A"/>
    <w:rsid w:val="001915A4"/>
    <w:rsid w:val="00193E2A"/>
    <w:rsid w:val="001A0F61"/>
    <w:rsid w:val="001B35D4"/>
    <w:rsid w:val="001B6484"/>
    <w:rsid w:val="001B6878"/>
    <w:rsid w:val="001B6E4E"/>
    <w:rsid w:val="001C182A"/>
    <w:rsid w:val="001C541A"/>
    <w:rsid w:val="001C7345"/>
    <w:rsid w:val="001E0ED9"/>
    <w:rsid w:val="001E259F"/>
    <w:rsid w:val="001F2E6B"/>
    <w:rsid w:val="002261C6"/>
    <w:rsid w:val="00231F83"/>
    <w:rsid w:val="0023494A"/>
    <w:rsid w:val="00235852"/>
    <w:rsid w:val="0024120A"/>
    <w:rsid w:val="00242836"/>
    <w:rsid w:val="00256F8A"/>
    <w:rsid w:val="00263B7F"/>
    <w:rsid w:val="00264C2B"/>
    <w:rsid w:val="00267435"/>
    <w:rsid w:val="00280FB4"/>
    <w:rsid w:val="002830E7"/>
    <w:rsid w:val="00283221"/>
    <w:rsid w:val="0028595D"/>
    <w:rsid w:val="00285CA2"/>
    <w:rsid w:val="002A5919"/>
    <w:rsid w:val="002C5016"/>
    <w:rsid w:val="002D6EE5"/>
    <w:rsid w:val="002E6B13"/>
    <w:rsid w:val="0030025D"/>
    <w:rsid w:val="00300355"/>
    <w:rsid w:val="003044F4"/>
    <w:rsid w:val="00320812"/>
    <w:rsid w:val="0033285C"/>
    <w:rsid w:val="00332A9C"/>
    <w:rsid w:val="003528A9"/>
    <w:rsid w:val="00353309"/>
    <w:rsid w:val="00357486"/>
    <w:rsid w:val="0036365E"/>
    <w:rsid w:val="00367228"/>
    <w:rsid w:val="00371651"/>
    <w:rsid w:val="00371844"/>
    <w:rsid w:val="00393D64"/>
    <w:rsid w:val="003950F7"/>
    <w:rsid w:val="00396F91"/>
    <w:rsid w:val="003A30BF"/>
    <w:rsid w:val="003A4712"/>
    <w:rsid w:val="003D7C5E"/>
    <w:rsid w:val="003E4B43"/>
    <w:rsid w:val="00403148"/>
    <w:rsid w:val="00406DA1"/>
    <w:rsid w:val="0042051B"/>
    <w:rsid w:val="00421B3B"/>
    <w:rsid w:val="00436D24"/>
    <w:rsid w:val="00445025"/>
    <w:rsid w:val="00465C0D"/>
    <w:rsid w:val="00473A29"/>
    <w:rsid w:val="00493243"/>
    <w:rsid w:val="004978A4"/>
    <w:rsid w:val="004A0BAF"/>
    <w:rsid w:val="004D584C"/>
    <w:rsid w:val="004E42A6"/>
    <w:rsid w:val="004E6BF4"/>
    <w:rsid w:val="004F169B"/>
    <w:rsid w:val="004F6B93"/>
    <w:rsid w:val="00512A7B"/>
    <w:rsid w:val="005201A6"/>
    <w:rsid w:val="00525408"/>
    <w:rsid w:val="005277EA"/>
    <w:rsid w:val="00541720"/>
    <w:rsid w:val="00556A19"/>
    <w:rsid w:val="005742E1"/>
    <w:rsid w:val="00582B21"/>
    <w:rsid w:val="00587541"/>
    <w:rsid w:val="005B0C89"/>
    <w:rsid w:val="005B7E3F"/>
    <w:rsid w:val="006010C8"/>
    <w:rsid w:val="00606F06"/>
    <w:rsid w:val="00613C16"/>
    <w:rsid w:val="00613E49"/>
    <w:rsid w:val="00616457"/>
    <w:rsid w:val="006310BF"/>
    <w:rsid w:val="0063754D"/>
    <w:rsid w:val="006446FC"/>
    <w:rsid w:val="00660443"/>
    <w:rsid w:val="00664939"/>
    <w:rsid w:val="00671552"/>
    <w:rsid w:val="006920CD"/>
    <w:rsid w:val="00692C0E"/>
    <w:rsid w:val="00695213"/>
    <w:rsid w:val="006B1181"/>
    <w:rsid w:val="006B6836"/>
    <w:rsid w:val="006D7F3A"/>
    <w:rsid w:val="006F0618"/>
    <w:rsid w:val="006F3F7A"/>
    <w:rsid w:val="00700E7A"/>
    <w:rsid w:val="00703850"/>
    <w:rsid w:val="00703F38"/>
    <w:rsid w:val="00710415"/>
    <w:rsid w:val="007140A5"/>
    <w:rsid w:val="0071524C"/>
    <w:rsid w:val="00730206"/>
    <w:rsid w:val="00740174"/>
    <w:rsid w:val="00744E72"/>
    <w:rsid w:val="0075392A"/>
    <w:rsid w:val="00757828"/>
    <w:rsid w:val="00765924"/>
    <w:rsid w:val="00770D29"/>
    <w:rsid w:val="0077416F"/>
    <w:rsid w:val="00777D6F"/>
    <w:rsid w:val="007A15F6"/>
    <w:rsid w:val="007A7383"/>
    <w:rsid w:val="007B28CC"/>
    <w:rsid w:val="007D3FD4"/>
    <w:rsid w:val="007D51DE"/>
    <w:rsid w:val="007E6AC6"/>
    <w:rsid w:val="007E7D3A"/>
    <w:rsid w:val="007F1699"/>
    <w:rsid w:val="007F322E"/>
    <w:rsid w:val="007F3AAB"/>
    <w:rsid w:val="0080293D"/>
    <w:rsid w:val="00824009"/>
    <w:rsid w:val="00824A19"/>
    <w:rsid w:val="008251F3"/>
    <w:rsid w:val="00825B04"/>
    <w:rsid w:val="00842A2F"/>
    <w:rsid w:val="00850D07"/>
    <w:rsid w:val="00850F27"/>
    <w:rsid w:val="00862CC7"/>
    <w:rsid w:val="00867AD6"/>
    <w:rsid w:val="008700C4"/>
    <w:rsid w:val="00877787"/>
    <w:rsid w:val="00882A69"/>
    <w:rsid w:val="00886C10"/>
    <w:rsid w:val="0088759F"/>
    <w:rsid w:val="0089108E"/>
    <w:rsid w:val="00893A56"/>
    <w:rsid w:val="008A3A97"/>
    <w:rsid w:val="008B29A3"/>
    <w:rsid w:val="008B3D7E"/>
    <w:rsid w:val="008B408C"/>
    <w:rsid w:val="008C6C12"/>
    <w:rsid w:val="008D183A"/>
    <w:rsid w:val="008F0C7F"/>
    <w:rsid w:val="008F22E2"/>
    <w:rsid w:val="008F745C"/>
    <w:rsid w:val="009012BE"/>
    <w:rsid w:val="00903FD6"/>
    <w:rsid w:val="009073DC"/>
    <w:rsid w:val="00910BAE"/>
    <w:rsid w:val="0092005C"/>
    <w:rsid w:val="009202DC"/>
    <w:rsid w:val="0092167F"/>
    <w:rsid w:val="00950790"/>
    <w:rsid w:val="00950802"/>
    <w:rsid w:val="009669E9"/>
    <w:rsid w:val="009679C7"/>
    <w:rsid w:val="0097174C"/>
    <w:rsid w:val="009813C0"/>
    <w:rsid w:val="00983FAC"/>
    <w:rsid w:val="00984C9B"/>
    <w:rsid w:val="009A29CE"/>
    <w:rsid w:val="009C02AD"/>
    <w:rsid w:val="009D236A"/>
    <w:rsid w:val="009D3BFE"/>
    <w:rsid w:val="009E039C"/>
    <w:rsid w:val="009E54F5"/>
    <w:rsid w:val="009F1240"/>
    <w:rsid w:val="009F3680"/>
    <w:rsid w:val="009F5542"/>
    <w:rsid w:val="009F6A9C"/>
    <w:rsid w:val="00A15450"/>
    <w:rsid w:val="00A34582"/>
    <w:rsid w:val="00A35864"/>
    <w:rsid w:val="00A8776D"/>
    <w:rsid w:val="00AA5C2D"/>
    <w:rsid w:val="00AA7200"/>
    <w:rsid w:val="00AB7466"/>
    <w:rsid w:val="00AC30DC"/>
    <w:rsid w:val="00AC7752"/>
    <w:rsid w:val="00AD7F5E"/>
    <w:rsid w:val="00AE4CE7"/>
    <w:rsid w:val="00B12BBB"/>
    <w:rsid w:val="00B30B7E"/>
    <w:rsid w:val="00B43705"/>
    <w:rsid w:val="00B54561"/>
    <w:rsid w:val="00B63A27"/>
    <w:rsid w:val="00B6466D"/>
    <w:rsid w:val="00B77CA0"/>
    <w:rsid w:val="00B82E84"/>
    <w:rsid w:val="00B83BBC"/>
    <w:rsid w:val="00B8568F"/>
    <w:rsid w:val="00B9035F"/>
    <w:rsid w:val="00B958D0"/>
    <w:rsid w:val="00B97AAB"/>
    <w:rsid w:val="00BB298A"/>
    <w:rsid w:val="00BB37D5"/>
    <w:rsid w:val="00BB5A24"/>
    <w:rsid w:val="00BD5BAB"/>
    <w:rsid w:val="00C12861"/>
    <w:rsid w:val="00C14C4F"/>
    <w:rsid w:val="00C179B1"/>
    <w:rsid w:val="00C25A25"/>
    <w:rsid w:val="00C31184"/>
    <w:rsid w:val="00C400F6"/>
    <w:rsid w:val="00C466EA"/>
    <w:rsid w:val="00C602BD"/>
    <w:rsid w:val="00C65F3C"/>
    <w:rsid w:val="00C815E8"/>
    <w:rsid w:val="00C81F84"/>
    <w:rsid w:val="00C923FD"/>
    <w:rsid w:val="00C97FBF"/>
    <w:rsid w:val="00CB5DC5"/>
    <w:rsid w:val="00CC282F"/>
    <w:rsid w:val="00CF4CCC"/>
    <w:rsid w:val="00D040F6"/>
    <w:rsid w:val="00D06D6C"/>
    <w:rsid w:val="00D16738"/>
    <w:rsid w:val="00D23EAB"/>
    <w:rsid w:val="00D43CAA"/>
    <w:rsid w:val="00D47345"/>
    <w:rsid w:val="00D55C0C"/>
    <w:rsid w:val="00D56055"/>
    <w:rsid w:val="00D641EF"/>
    <w:rsid w:val="00D93BF0"/>
    <w:rsid w:val="00DA3A94"/>
    <w:rsid w:val="00DC14E3"/>
    <w:rsid w:val="00DC304F"/>
    <w:rsid w:val="00E2070E"/>
    <w:rsid w:val="00E276B2"/>
    <w:rsid w:val="00E27BEF"/>
    <w:rsid w:val="00E33187"/>
    <w:rsid w:val="00E40D1A"/>
    <w:rsid w:val="00E555F7"/>
    <w:rsid w:val="00E848CC"/>
    <w:rsid w:val="00EA4C3F"/>
    <w:rsid w:val="00EC4E42"/>
    <w:rsid w:val="00EE742E"/>
    <w:rsid w:val="00EF4FD2"/>
    <w:rsid w:val="00EF7490"/>
    <w:rsid w:val="00F022E4"/>
    <w:rsid w:val="00F04165"/>
    <w:rsid w:val="00F14D71"/>
    <w:rsid w:val="00F3047D"/>
    <w:rsid w:val="00F33372"/>
    <w:rsid w:val="00F60883"/>
    <w:rsid w:val="00F61263"/>
    <w:rsid w:val="00F612EB"/>
    <w:rsid w:val="00F64EA4"/>
    <w:rsid w:val="00F77AD8"/>
    <w:rsid w:val="00F84373"/>
    <w:rsid w:val="00FB2951"/>
    <w:rsid w:val="00FB69D3"/>
    <w:rsid w:val="00FD2035"/>
    <w:rsid w:val="00FF0C9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98A0E-BFF3-4978-AC2B-2A1030D7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A65"/>
    <w:rPr>
      <w:rFonts w:ascii="Arial" w:hAnsi="Arial"/>
      <w:sz w:val="18"/>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2E6B"/>
    <w:pPr>
      <w:tabs>
        <w:tab w:val="center" w:pos="4536"/>
        <w:tab w:val="right" w:pos="9072"/>
      </w:tabs>
    </w:pPr>
  </w:style>
  <w:style w:type="paragraph" w:styleId="Fuzeile">
    <w:name w:val="footer"/>
    <w:basedOn w:val="Standard"/>
    <w:link w:val="FuzeileZchn"/>
    <w:uiPriority w:val="99"/>
    <w:rsid w:val="001F2E6B"/>
    <w:pPr>
      <w:tabs>
        <w:tab w:val="center" w:pos="4536"/>
        <w:tab w:val="right" w:pos="9072"/>
      </w:tabs>
    </w:pPr>
  </w:style>
  <w:style w:type="table" w:styleId="Tabellenraster">
    <w:name w:val="Table Grid"/>
    <w:basedOn w:val="NormaleTabelle"/>
    <w:rsid w:val="001F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25D"/>
    <w:rPr>
      <w:color w:val="0000FF"/>
      <w:u w:val="single"/>
    </w:rPr>
  </w:style>
  <w:style w:type="paragraph" w:customStyle="1" w:styleId="Objet">
    <w:name w:val="Objet"/>
    <w:basedOn w:val="Standard"/>
    <w:rsid w:val="00DC304F"/>
    <w:rPr>
      <w:b/>
      <w:sz w:val="24"/>
    </w:rPr>
  </w:style>
  <w:style w:type="paragraph" w:customStyle="1" w:styleId="Adresse">
    <w:name w:val="Adresse"/>
    <w:basedOn w:val="Standard"/>
    <w:rsid w:val="00D06D6C"/>
  </w:style>
  <w:style w:type="paragraph" w:styleId="Datum">
    <w:name w:val="Date"/>
    <w:basedOn w:val="Standard"/>
    <w:next w:val="Standard"/>
    <w:rsid w:val="00D06D6C"/>
    <w:rPr>
      <w:sz w:val="16"/>
    </w:rPr>
  </w:style>
  <w:style w:type="paragraph" w:styleId="Sprechblasentext">
    <w:name w:val="Balloon Text"/>
    <w:basedOn w:val="Standard"/>
    <w:semiHidden/>
    <w:rsid w:val="009202DC"/>
    <w:rPr>
      <w:rFonts w:ascii="Tahoma" w:hAnsi="Tahoma" w:cs="Tahoma"/>
      <w:sz w:val="16"/>
      <w:szCs w:val="16"/>
    </w:rPr>
  </w:style>
  <w:style w:type="table" w:customStyle="1" w:styleId="TableGrid1">
    <w:name w:val="Table Grid1"/>
    <w:basedOn w:val="NormaleTabelle"/>
    <w:next w:val="Tabellenraster"/>
    <w:uiPriority w:val="59"/>
    <w:rsid w:val="003528A9"/>
    <w:rPr>
      <w:rFonts w:ascii="Calibri" w:eastAsia="Calibri" w:hAnsi="Calibri"/>
      <w:sz w:val="22"/>
      <w:szCs w:val="22"/>
      <w:lang w:val="lb-L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3528A9"/>
    <w:rPr>
      <w:rFonts w:ascii="Arial" w:hAnsi="Arial"/>
      <w:sz w:val="18"/>
      <w:szCs w:val="24"/>
      <w:lang w:val="fr-FR" w:eastAsia="fr-FR"/>
    </w:rPr>
  </w:style>
  <w:style w:type="paragraph" w:styleId="Listenabsatz">
    <w:name w:val="List Paragraph"/>
    <w:basedOn w:val="Standard"/>
    <w:uiPriority w:val="34"/>
    <w:qFormat/>
    <w:rsid w:val="002D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isfra\LOCALS~1\Temp\CNS_10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17D9-A3D8-4BA6-88A4-E23B9EB6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CNS_1010-1</Template>
  <TotalTime>0</TotalTime>
  <Pages>3</Pages>
  <Words>817</Words>
  <Characters>5154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CCSS</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Bisfra</dc:creator>
  <cp:lastModifiedBy>Anouk Thill</cp:lastModifiedBy>
  <cp:revision>2</cp:revision>
  <cp:lastPrinted>2015-01-12T09:00:00Z</cp:lastPrinted>
  <dcterms:created xsi:type="dcterms:W3CDTF">2015-01-15T20:05:00Z</dcterms:created>
  <dcterms:modified xsi:type="dcterms:W3CDTF">2015-01-15T20:05:00Z</dcterms:modified>
</cp:coreProperties>
</file>